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F54F9FD" w:rsidP="1F54F9FD" w:rsidRDefault="1F54F9FD" w14:paraId="0D026C64" w14:textId="43F7D747">
      <w:pPr>
        <w:pStyle w:val="Normal"/>
        <w:rPr>
          <w:rFonts w:ascii="Arial" w:hAnsi="Arial" w:eastAsia="Arial" w:cs="Arial"/>
          <w:noProof w:val="0"/>
          <w:color w:val="222222"/>
          <w:sz w:val="21"/>
          <w:szCs w:val="21"/>
          <w:lang w:eastAsia="ja-JP"/>
        </w:rPr>
      </w:pPr>
      <w:r w:rsidRPr="1F54F9FD" w:rsidR="1F54F9FD">
        <w:rPr>
          <w:rFonts w:ascii="Arial" w:hAnsi="Arial" w:eastAsia="Arial" w:cs="Arial"/>
          <w:noProof w:val="0"/>
          <w:color w:val="222222"/>
          <w:sz w:val="21"/>
          <w:szCs w:val="21"/>
          <w:lang w:eastAsia="ja-JP"/>
        </w:rPr>
        <w:t>2019年02月12日　担当：武田</w:t>
      </w:r>
    </w:p>
    <w:p w:rsidR="1F54F9FD" w:rsidP="1F54F9FD" w:rsidRDefault="1F54F9FD" w14:noSpellErr="1" w14:paraId="51BD13F8" w14:textId="0B1B79C6">
      <w:pPr>
        <w:pStyle w:val="Normal"/>
        <w:rPr>
          <w:rFonts w:ascii="Arial" w:hAnsi="Arial" w:eastAsia="Arial" w:cs="Arial"/>
          <w:noProof w:val="0"/>
          <w:color w:val="222222"/>
          <w:sz w:val="21"/>
          <w:szCs w:val="21"/>
          <w:lang w:eastAsia="ja-JP"/>
        </w:rPr>
      </w:pPr>
    </w:p>
    <w:p w:rsidR="1F54F9FD" w:rsidP="1F54F9FD" w:rsidRDefault="1F54F9FD" w14:noSpellErr="1" w14:paraId="0A349CED" w14:textId="5B5D01CF">
      <w:pPr>
        <w:pStyle w:val="Normal"/>
      </w:pPr>
      <w:r w:rsidRPr="1F54F9FD" w:rsidR="1F54F9FD">
        <w:rPr>
          <w:rFonts w:ascii="Arial" w:hAnsi="Arial" w:eastAsia="Arial" w:cs="Arial"/>
          <w:noProof w:val="0"/>
          <w:color w:val="222222"/>
          <w:sz w:val="21"/>
          <w:szCs w:val="21"/>
          <w:lang w:eastAsia="ja-JP"/>
        </w:rPr>
        <w:t>Angiotensin–Neprilysin Inhibition in Acute Decompensated Heart Failure</w:t>
      </w:r>
      <w:r>
        <w:br/>
      </w:r>
      <w:r w:rsidRPr="1F54F9FD" w:rsidR="1F54F9FD">
        <w:rPr>
          <w:rFonts w:ascii="Arial" w:hAnsi="Arial" w:eastAsia="Arial" w:cs="Arial"/>
          <w:noProof w:val="0"/>
          <w:color w:val="222222"/>
          <w:sz w:val="21"/>
          <w:szCs w:val="21"/>
          <w:lang w:eastAsia="ja-JP"/>
        </w:rPr>
        <w:t xml:space="preserve">N Engl J Med. 2019 Feb 7;380(6):539-548. </w:t>
      </w:r>
      <w:r>
        <w:br/>
      </w:r>
      <w:r>
        <w:br/>
      </w:r>
      <w:r w:rsidRPr="1F54F9FD" w:rsidR="1F54F9FD">
        <w:rPr>
          <w:rFonts w:ascii="Arial" w:hAnsi="Arial" w:eastAsia="Arial" w:cs="Arial"/>
          <w:noProof w:val="0"/>
          <w:color w:val="222222"/>
          <w:sz w:val="21"/>
          <w:szCs w:val="21"/>
          <w:lang w:eastAsia="ja-JP"/>
        </w:rPr>
        <w:t>急性非代償性心不全で入院した駆出率低下を伴う心不全患者881例を対象に、</w:t>
      </w:r>
      <w:r>
        <w:br/>
      </w:r>
      <w:r w:rsidRPr="1F54F9FD" w:rsidR="1F54F9FD">
        <w:rPr>
          <w:rFonts w:ascii="Arial" w:hAnsi="Arial" w:eastAsia="Arial" w:cs="Arial"/>
          <w:noProof w:val="0"/>
          <w:color w:val="222222"/>
          <w:sz w:val="21"/>
          <w:szCs w:val="21"/>
          <w:lang w:eastAsia="ja-JP"/>
        </w:rPr>
        <w:t>アンジオテンシン受容体-ネプリライシン阻害薬（ARNI）であるサクビトリル・</w:t>
      </w:r>
      <w:r>
        <w:br/>
      </w:r>
      <w:r w:rsidRPr="1F54F9FD" w:rsidR="1F54F9FD">
        <w:rPr>
          <w:rFonts w:ascii="Arial" w:hAnsi="Arial" w:eastAsia="Arial" w:cs="Arial"/>
          <w:noProof w:val="0"/>
          <w:color w:val="222222"/>
          <w:sz w:val="21"/>
          <w:szCs w:val="21"/>
          <w:lang w:eastAsia="ja-JP"/>
        </w:rPr>
        <w:t>バルサルタン合剤の安全性および効果を検討した、PIONEER-HF試験である。</w:t>
      </w:r>
      <w:r>
        <w:br/>
      </w:r>
      <w:r w:rsidRPr="1F54F9FD" w:rsidR="1F54F9FD">
        <w:rPr>
          <w:rFonts w:ascii="Arial" w:hAnsi="Arial" w:eastAsia="Arial" w:cs="Arial"/>
          <w:noProof w:val="0"/>
          <w:color w:val="222222"/>
          <w:sz w:val="21"/>
          <w:szCs w:val="21"/>
          <w:lang w:eastAsia="ja-JP"/>
        </w:rPr>
        <w:t>その結果、合剤群（440例）ではNT-proBNPの平均低下度がエナラプリル群</w:t>
      </w:r>
      <w:r>
        <w:br/>
      </w:r>
      <w:r w:rsidRPr="1F54F9FD" w:rsidR="1F54F9FD">
        <w:rPr>
          <w:rFonts w:ascii="Arial" w:hAnsi="Arial" w:eastAsia="Arial" w:cs="Arial"/>
          <w:noProof w:val="0"/>
          <w:color w:val="222222"/>
          <w:sz w:val="21"/>
          <w:szCs w:val="21"/>
          <w:lang w:eastAsia="ja-JP"/>
        </w:rPr>
        <w:t>（441例）に比べて有意に大きく、4および8週時の平均値の対ベースライン比は</w:t>
      </w:r>
      <w:r>
        <w:br/>
      </w:r>
      <w:r w:rsidRPr="1F54F9FD" w:rsidR="1F54F9FD">
        <w:rPr>
          <w:rFonts w:ascii="Arial" w:hAnsi="Arial" w:eastAsia="Arial" w:cs="Arial"/>
          <w:noProof w:val="0"/>
          <w:color w:val="222222"/>
          <w:sz w:val="21"/>
          <w:szCs w:val="21"/>
          <w:lang w:eastAsia="ja-JP"/>
        </w:rPr>
        <w:t>合剤群0.53、エナラプリル群0.75だった(p&lt;0.001)。腎機能低下、高カリウム血症、</w:t>
      </w:r>
      <w:r>
        <w:br/>
      </w:r>
      <w:r w:rsidRPr="1F54F9FD" w:rsidR="1F54F9FD">
        <w:rPr>
          <w:rFonts w:ascii="Arial" w:hAnsi="Arial" w:eastAsia="Arial" w:cs="Arial"/>
          <w:noProof w:val="0"/>
          <w:color w:val="222222"/>
          <w:sz w:val="21"/>
          <w:szCs w:val="21"/>
          <w:lang w:eastAsia="ja-JP"/>
        </w:rPr>
        <w:t>症候性低血圧、血管性浮腫の発生率に有意差はなかった。</w:t>
      </w: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4:docId w14:val="0179F101"/>
  <w15:docId w15:val="{520f3a2c-adca-45ad-97a2-215573bea3bf}"/>
  <w:rsids>
    <w:rsidRoot w:val="0179F101"/>
    <w:rsid w:val="0179F101"/>
    <w:rsid w:val="1F54F9F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2019-03-05T07:50:18.4155108Z</dcterms:created>
  <dcterms:modified xsi:type="dcterms:W3CDTF">2019-03-05T07:53:22.2283511Z</dcterms:modified>
  <dc:creator>bluewyvern hiron</dc:creator>
  <lastModifiedBy>bluewyvern hiron</lastModifiedBy>
</coreProperties>
</file>